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6" w:before="0" w:after="200"/>
        <w:ind w:left="708" w:right="0" w:hanging="708"/>
        <w:jc w:val="center"/>
        <w:textAlignment w:val="auto"/>
        <w:rPr/>
      </w:pPr>
      <w:r>
        <w:rPr>
          <w:rFonts w:ascii="Arial" w:hAnsi="Arial"/>
          <w:b/>
          <w:bCs/>
          <w:sz w:val="20"/>
          <w:szCs w:val="20"/>
          <w:u w:val="single"/>
        </w:rPr>
        <w:t>RESERVA</w:t>
      </w:r>
    </w:p>
    <w:p>
      <w:pPr>
        <w:pStyle w:val="Normal"/>
        <w:widowControl/>
        <w:shd w:fill="FFFFFF"/>
        <w:suppressAutoHyphens w:val="true"/>
        <w:bidi w:val="0"/>
        <w:spacing w:lineRule="auto" w:line="276" w:before="0" w:after="200"/>
        <w:ind w:left="0" w:right="0" w:hanging="0"/>
        <w:jc w:val="both"/>
        <w:textAlignment w:val="auto"/>
        <w:rPr/>
      </w:pPr>
      <w:r>
        <w:rPr>
          <w:rFonts w:cs="Arial" w:ascii="Arial" w:hAnsi="Arial"/>
          <w:sz w:val="20"/>
          <w:szCs w:val="20"/>
        </w:rPr>
        <w:t>${</w:t>
      </w:r>
      <w:r>
        <w:rPr>
          <w:rFonts w:cs="Arial" w:ascii="Arial" w:hAnsi="Arial"/>
          <w:sz w:val="20"/>
          <w:szCs w:val="20"/>
        </w:rPr>
        <w:t>textopersonas</w:t>
      </w:r>
      <w:r>
        <w:rPr>
          <w:rFonts w:cs="Arial" w:ascii="Arial" w:hAnsi="Arial"/>
          <w:sz w:val="20"/>
          <w:szCs w:val="20"/>
        </w:rPr>
        <w:t>}</w:t>
      </w:r>
      <w:r>
        <w:rPr>
          <w:rFonts w:cs="Arial" w:ascii="Arial" w:hAnsi="Arial"/>
          <w:sz w:val="20"/>
          <w:szCs w:val="20"/>
        </w:rPr>
        <w:t>, en adelante %textomasdeuno% el COMPRADOR</w:t>
      </w:r>
      <w:r>
        <w:rPr>
          <w:rFonts w:ascii="Arial" w:hAnsi="Arial"/>
          <w:sz w:val="20"/>
          <w:szCs w:val="20"/>
        </w:rPr>
        <w:t>, la cantidad de dólares estadounidenses %totaldolares10enletras% (U$S %totaldolares10%) mediante transferencia a la cuenta corriente especial U$S  N° 9-001-0000011667-9 (CBU 1980001790000001166799) en dólares en concepto de reserva para la compra de la unidad %piso% %departamento% %textocomplementarias% %complementarias%, en  conjunto LAS UNIDADES, del edificio %torre% de Distrito Quartier Puerto Retiro (el EDIFICIO) a construir por Allaria Argencons Distrito Quartier Puerto Retiro Fondo Común de Inversión Cerrado Inmobiliario Ley 27.260 (en adelante en forma indistinta el FONDO o el VENDEDOR) por intermedio de la/s empresa/s constructora/s que contrate al efecto en el inmueble sito en calle Comodoro Pedro L. Zanni sin número esquina Mayor Arturo Pedro Luisoni sin número esquina Av. Presidente Ramón S. Castillo sin número, esquina calle sin nombre oficial, sin número, NOMENCLATURA CATASTRAL: Circunscripción: 20; Sección 3; Manzana 74 D. Las características generales de LAS UNIDADES se describen en Anexo A adjunto %textoopcionales% %textoopcionpiso% %textoopcioncocina%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La compra se ajustará a las siguientes condiciones: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PRECIO:</w:t>
      </w:r>
      <w:r>
        <w:rPr>
          <w:rFonts w:ascii="Arial" w:hAnsi="Arial"/>
          <w:sz w:val="20"/>
          <w:szCs w:val="20"/>
        </w:rPr>
        <w:t xml:space="preserve"> Dólares estadounidenses %totaldolaresenletras% (U$S %totaldolares%). Con la firma del boleto de compraventa se abonará el 30%  del precio y el 70% restante en veinticinco cuotas mensuales, iguales y consecutivas de dólares estadounidenses %cuotasenletras% (U$S %cuotas%) cada una de ellas con vencimiento el dia 10 de cada mes. La primer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BOLETO DE COMPRAVENTA:</w:t>
      </w:r>
      <w:r>
        <w:rPr>
          <w:rFonts w:ascii="Arial" w:hAnsi="Arial"/>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MORA DEL COMPRADOR:</w:t>
      </w:r>
      <w:r>
        <w:rPr>
          <w:rFonts w:ascii="Arial" w:hAnsi="Arial"/>
          <w:sz w:val="20"/>
          <w:szCs w:val="20"/>
        </w:rPr>
        <w:t xml:space="preserve"> Si el COMPRADOR no compareciere a la firma del boleto de compraventa cuando fuese citado al efecto o no abonare los importes a pagar  en el acto de su firma la presente reserva quedará sin valor ni efecto alguno y el importe recibido en concepto de reserva, U$S %totaldolares10% (Dólares estadounidenses %totaldolares10enletras%) quedará de plena propiedad del VENDEDOR como única y total indemnización por el incumplimiento del COMPRADOR.</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VARIOS:</w:t>
      </w:r>
      <w:r>
        <w:rPr>
          <w:rFonts w:ascii="Arial" w:hAnsi="Arial"/>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VIGENCIA:</w:t>
      </w:r>
      <w:r>
        <w:rPr>
          <w:rFonts w:ascii="Arial" w:hAnsi="Arial"/>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lang w:eastAsia="es-ES"/>
        </w:rPr>
        <w:t>CESION:</w:t>
      </w:r>
      <w:r>
        <w:rPr>
          <w:rFonts w:cs="Times New Roman" w:ascii="Arial" w:hAnsi="Arial"/>
          <w:sz w:val="20"/>
          <w:szCs w:val="20"/>
          <w:lang w:eastAsia="es-ES"/>
        </w:rPr>
        <w:t> </w:t>
      </w:r>
      <w:r>
        <w:rPr>
          <w:rFonts w:ascii="Arial" w:hAnsi="Arial"/>
          <w:sz w:val="20"/>
          <w:szCs w:val="20"/>
          <w:lang w:eastAsia="es-ES"/>
        </w:rPr>
        <w:t xml:space="preserve">Esta reserva no </w:t>
      </w:r>
      <w:r>
        <w:rPr>
          <w:rFonts w:cs="Times New Roman" w:ascii="Arial" w:hAnsi="Arial"/>
          <w:sz w:val="20"/>
          <w:szCs w:val="20"/>
          <w:lang w:eastAsia="es-ES"/>
        </w:rPr>
        <w:t> </w:t>
      </w:r>
      <w:r>
        <w:rPr>
          <w:rFonts w:ascii="Arial" w:hAnsi="Arial"/>
          <w:sz w:val="20"/>
          <w:szCs w:val="20"/>
          <w:lang w:eastAsia="es-ES"/>
        </w:rPr>
        <w:t>se podrá ceder salvo</w:t>
      </w:r>
      <w:r>
        <w:rPr>
          <w:rFonts w:cs="Times New Roman" w:ascii="Arial" w:hAnsi="Arial"/>
          <w:sz w:val="20"/>
          <w:szCs w:val="20"/>
          <w:lang w:eastAsia="es-ES"/>
        </w:rPr>
        <w:t> </w:t>
      </w:r>
      <w:r>
        <w:rPr>
          <w:rFonts w:ascii="Arial" w:hAnsi="Arial"/>
          <w:sz w:val="20"/>
          <w:szCs w:val="20"/>
          <w:lang w:eastAsia="es-ES"/>
        </w:rPr>
        <w:t>conformidad expresa del VENDEDOR.</w:t>
      </w:r>
    </w:p>
    <w:p>
      <w:pPr>
        <w:pStyle w:val="Normal"/>
        <w:widowControl/>
        <w:suppressAutoHyphens w:val="true"/>
        <w:bidi w:val="0"/>
        <w:spacing w:lineRule="auto" w:line="276" w:before="0" w:after="120"/>
        <w:ind w:left="0" w:right="0" w:hanging="0"/>
        <w:jc w:val="both"/>
        <w:textAlignment w:val="auto"/>
        <w:rPr>
          <w:rFonts w:ascii="Arial" w:hAnsi="Arial" w:cs="Times New Roman"/>
          <w:b/>
          <w:b/>
          <w:sz w:val="20"/>
          <w:szCs w:val="20"/>
          <w:u w:val="single"/>
        </w:rPr>
      </w:pPr>
      <w:r>
        <w:rPr>
          <w:rFonts w:cs="Times New Roman" w:ascii="Arial" w:hAnsi="Arial"/>
          <w:b/>
          <w:sz w:val="20"/>
          <w:szCs w:val="20"/>
          <w:u w:val="single"/>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DECLARACIÓN JURADA LICITUD DE FONDOS:</w:t>
      </w:r>
      <w:r>
        <w:rPr>
          <w:rFonts w:cs="Times New Roman" w:ascii="Arial" w:hAnsi="Arial"/>
          <w:sz w:val="20"/>
          <w:szCs w:val="20"/>
        </w:rPr>
        <w:t> </w:t>
      </w:r>
      <w:r>
        <w:rPr>
          <w:rFonts w:ascii="Arial" w:hAnsi="Arial"/>
          <w:sz w:val="20"/>
          <w:szCs w:val="20"/>
        </w:rPr>
        <w:t xml:space="preserve"> EL COMPRADOR declara bajo juramento que los fondos y valores utilizados para abonar la presente reserva, y los que utilizará para abonar oportunamente el precio de compra, provienen de actividades lícitas y por tanto no resultan contrarios</w:t>
      </w:r>
      <w:r>
        <w:rPr>
          <w:rFonts w:cs="Times New Roman" w:ascii="Arial" w:hAnsi="Arial"/>
          <w:sz w:val="20"/>
          <w:szCs w:val="20"/>
        </w:rPr>
        <w:t> </w:t>
      </w:r>
      <w:r>
        <w:rPr>
          <w:rFonts w:ascii="Arial" w:hAnsi="Arial"/>
          <w:sz w:val="20"/>
          <w:szCs w:val="20"/>
        </w:rPr>
        <w:t xml:space="preserve"> a los dispuesto por la ley Nº </w:t>
      </w:r>
      <w:r>
        <w:rPr>
          <w:rFonts w:cs="Times New Roman" w:ascii="Arial" w:hAnsi="Arial"/>
          <w:sz w:val="20"/>
          <w:szCs w:val="20"/>
        </w:rPr>
        <w:t> </w:t>
      </w:r>
      <w:r>
        <w:rPr>
          <w:rFonts w:ascii="Arial" w:hAnsi="Arial"/>
          <w:sz w:val="20"/>
          <w:szCs w:val="20"/>
        </w:rPr>
        <w:t>25.246 y normas complementarias y modificatorias. También con carácter de declaración jurada manifiesto que la información consignada en la presente es exacta y verdadera y que tengo conocimiento del contenido de la Ley Nº 25.246 sobre encubrimiento y lavado de activos de origen delictivo</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JURISDICCIÓN Y COMPETENCIA;</w:t>
      </w:r>
      <w:r>
        <w:rPr>
          <w:rFonts w:ascii="Arial" w:hAnsi="Arial"/>
          <w:b/>
          <w:sz w:val="20"/>
          <w:szCs w:val="20"/>
        </w:rPr>
        <w:t xml:space="preserve"> </w:t>
      </w:r>
      <w:r>
        <w:rPr>
          <w:rFonts w:ascii="Arial" w:hAnsi="Arial"/>
          <w:sz w:val="20"/>
          <w:szCs w:val="20"/>
        </w:rPr>
        <w:t>En caso de conflicto respecto de esta reserva</w:t>
      </w:r>
      <w:r>
        <w:rPr>
          <w:rFonts w:ascii="Arial" w:hAnsi="Arial"/>
          <w:b/>
          <w:sz w:val="20"/>
          <w:szCs w:val="20"/>
        </w:rPr>
        <w:t xml:space="preserve"> </w:t>
      </w:r>
      <w:r>
        <w:rPr>
          <w:rFonts w:ascii="Arial" w:hAnsi="Arial"/>
          <w:sz w:val="20"/>
          <w:szCs w:val="20"/>
        </w:rPr>
        <w:t>las partes se someten a la jurisdicción y competencia de la Justicia Nacional de Primera Instancia en lo Civil de la Ciudad Autónoma de Buenos Aires, renunciando desde ya a cualquier otro fuero o Jurisdicción que pudiera corresponder.</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DOMICILIOS:</w:t>
      </w:r>
      <w:r>
        <w:rPr>
          <w:rFonts w:ascii="Arial" w:hAnsi="Arial"/>
          <w:sz w:val="20"/>
          <w:szCs w:val="20"/>
        </w:rPr>
        <w:t xml:space="preserve"> A todos los efectos del presente las partes constituyen domicilio y denuncian sus correos electrónicos de acuerdo al siguiente detalle:</w:t>
      </w:r>
    </w:p>
    <w:p>
      <w:pPr>
        <w:pStyle w:val="Normal"/>
        <w:widowControl/>
        <w:suppressAutoHyphens w:val="true"/>
        <w:bidi w:val="0"/>
        <w:spacing w:lineRule="auto" w:line="276" w:before="0" w:after="200"/>
        <w:ind w:left="0" w:right="0" w:hanging="0"/>
        <w:jc w:val="both"/>
        <w:textAlignment w:val="auto"/>
        <w:rPr/>
      </w:pPr>
      <w:r>
        <w:rPr>
          <w:rFonts w:cs="Arial" w:ascii="Arial" w:hAnsi="Arial"/>
          <w:b/>
          <w:sz w:val="20"/>
          <w:szCs w:val="20"/>
        </w:rPr>
        <w:t>COMPRADOR:</w:t>
      </w:r>
      <w:r>
        <w:rPr>
          <w:rFonts w:cs="Arial" w:ascii="Arial" w:hAnsi="Arial"/>
          <w:sz w:val="20"/>
          <w:szCs w:val="20"/>
        </w:rPr>
        <w:t xml:space="preserve"> %textocompradores%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rPr>
        <w:t>VENDEDOR:</w:t>
      </w:r>
      <w:r>
        <w:rPr>
          <w:rFonts w:ascii="Arial" w:hAnsi="Arial"/>
          <w:sz w:val="20"/>
          <w:szCs w:val="20"/>
        </w:rPr>
        <w:t xml:space="preserve"> Allaria Argencons Distrito Quartier Puerto Retiro Fondo Común de Inversión Cerrado Inmobiliario Ley 27.260, con domicilio en Avenida Leandro N. Alem 356, Piso 5º, CABA. Correo electrónico: fondoscerrados@allariafondos.com.ar</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Se firman tres (3) ejemplares del mismo tenor y a un solo efecto, en la Ciudad Autónoma de Buenos Aires a los … días del mes de ……………………</w:t>
      </w:r>
      <w:r>
        <w:rPr>
          <w:rFonts w:cs="Times New Roman" w:ascii="Arial" w:hAnsi="Arial"/>
          <w:sz w:val="20"/>
          <w:szCs w:val="20"/>
        </w:rPr>
        <w:t>..</w:t>
      </w:r>
      <w:r>
        <w:rPr>
          <w:rFonts w:ascii="Arial" w:hAnsi="Arial"/>
          <w:sz w:val="20"/>
          <w:szCs w:val="20"/>
        </w:rPr>
        <w:t>… de 2018.-</w:t>
      </w:r>
    </w:p>
    <w:p>
      <w:pPr>
        <w:pStyle w:val="Normal"/>
        <w:widowControl/>
        <w:suppressAutoHyphens w:val="true"/>
        <w:bidi w:val="0"/>
        <w:spacing w:lineRule="auto" w:line="276" w:before="0" w:after="200"/>
        <w:ind w:left="354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3540" w:right="0" w:hanging="0"/>
        <w:jc w:val="both"/>
        <w:textAlignment w:val="auto"/>
        <w:rPr/>
      </w:pPr>
      <w:r>
        <w:rPr>
          <w:rFonts w:ascii="Arial" w:hAnsi="Arial"/>
          <w:sz w:val="20"/>
          <w:szCs w:val="20"/>
        </w:rPr>
        <w:t>p/ Banco de Valores S.A. en su calidad de Agente de Custodia del FONDO</w:t>
      </w:r>
    </w:p>
    <w:p>
      <w:pPr>
        <w:pStyle w:val="Normal"/>
        <w:widowControl/>
        <w:suppressAutoHyphens w:val="true"/>
        <w:bidi w:val="0"/>
        <w:spacing w:lineRule="auto" w:line="276" w:before="0" w:after="200"/>
        <w:ind w:left="0" w:right="0" w:hanging="0"/>
        <w:jc w:val="both"/>
        <w:textAlignment w:val="auto"/>
        <w:rPr/>
      </w:pPr>
      <w:r>
        <w:rPr>
          <w:rFonts w:cs="Times New Roman" w:ascii="Arial" w:hAnsi="Arial"/>
          <w:sz w:val="20"/>
          <w:szCs w:val="20"/>
        </w:rPr>
        <w:tab/>
        <w:tab/>
        <w:tab/>
        <w:tab/>
        <w:tab/>
      </w:r>
    </w:p>
    <w:p>
      <w:pPr>
        <w:pStyle w:val="Normal"/>
        <w:widowControl/>
        <w:suppressAutoHyphens w:val="true"/>
        <w:bidi w:val="0"/>
        <w:spacing w:lineRule="auto" w:line="276" w:before="0" w:after="200"/>
        <w:ind w:left="2832" w:right="0" w:firstLine="708"/>
        <w:jc w:val="both"/>
        <w:textAlignment w:val="auto"/>
        <w:rPr/>
      </w:pPr>
      <w:r>
        <w:rPr>
          <w:rFonts w:cs="Times New Roman" w:ascii="Arial" w:hAnsi="Arial"/>
          <w:sz w:val="20"/>
          <w:szCs w:val="20"/>
        </w:rPr>
        <w:t>---------------------------------------</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p/ Allaria Ledesma Fondos Administrados Sociedad Gerente de Fondos Comunes de Inversión S.A. en su calidad de agente de Administración del FONDO</w:t>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Comprador:</w:t>
        <w:tab/>
        <w:tab/>
        <w:tab/>
        <w:tab/>
        <w:tab/>
        <w:tab/>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Firma: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 xml:space="preserve">Aclaración: </w:t>
      </w:r>
    </w:p>
    <w:sectPr>
      <w:type w:val="nextPage"/>
      <w:pgSz w:w="11906" w:h="16820"/>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character" w:styleId="DefaultParagraphFont">
    <w:name w:val="Default Paragraph Font"/>
    <w:qFormat/>
    <w:rPr/>
  </w:style>
  <w:style w:type="character" w:styleId="TextodegloboCar">
    <w:name w:val="Texto de globo Car"/>
    <w:basedOn w:val="DefaultParagraphFont"/>
    <w:qFormat/>
    <w:rPr>
      <w:rFonts w:ascii="Tahoma" w:hAnsi="Tahoma" w:eastAsia="Times New Roman" w:cs="Tahoma"/>
      <w:sz w:val="16"/>
      <w:szCs w:val="16"/>
    </w:rPr>
  </w:style>
  <w:style w:type="character" w:styleId="Annotationreference">
    <w:name w:val="annotation reference"/>
    <w:basedOn w:val="DefaultParagraphFont"/>
    <w:qFormat/>
    <w:rPr>
      <w:rFonts w:eastAsia="Times New Roman" w:cs="Times New Roman"/>
      <w:sz w:val="18"/>
      <w:szCs w:val="18"/>
    </w:rPr>
  </w:style>
  <w:style w:type="character" w:styleId="TextocomentarioCar">
    <w:name w:val="Texto comentario Car"/>
    <w:basedOn w:val="DefaultParagraphFont"/>
    <w:qFormat/>
    <w:rPr>
      <w:rFonts w:eastAsia="Times New Roman" w:cs="Times New Roman"/>
    </w:rPr>
  </w:style>
  <w:style w:type="character" w:styleId="AsuntodelcomentarioCar">
    <w:name w:val="Asunto del comentario Car"/>
    <w:basedOn w:val="TextocomentarioCar"/>
    <w:qFormat/>
    <w:rPr>
      <w:rFonts w:eastAsia="Times New Roman" w:cs="Times New Roman"/>
      <w:b/>
      <w:bCs/>
      <w:sz w:val="20"/>
      <w:szCs w:val="20"/>
    </w:rPr>
  </w:style>
  <w:style w:type="character" w:styleId="EncabezadoCar">
    <w:name w:val="Encabezado Car"/>
    <w:basedOn w:val="DefaultParagraphFont"/>
    <w:qFormat/>
    <w:rPr>
      <w:rFonts w:ascii="Calibri" w:hAnsi="Calibri" w:eastAsia="Times New Roman" w:cs="Liberation Serif"/>
      <w:color w:val="000000"/>
      <w:sz w:val="20"/>
      <w:szCs w:val="20"/>
      <w:lang w:bidi="hi-IN"/>
    </w:rPr>
  </w:style>
  <w:style w:type="character" w:styleId="TextodegloboCar1">
    <w:name w:val="Texto de globo Car1"/>
    <w:basedOn w:val="DefaultParagraphFont"/>
    <w:qFormat/>
    <w:rPr>
      <w:rFonts w:ascii="Tahoma" w:hAnsi="Tahoma" w:cs="Mangal"/>
      <w:color w:val="000000"/>
      <w:sz w:val="14"/>
      <w:szCs w:val="14"/>
      <w:lang w:bidi="hi-IN"/>
    </w:rPr>
  </w:style>
  <w:style w:type="character" w:styleId="TextocomentarioCar1">
    <w:name w:val="Texto comentario Car1"/>
    <w:basedOn w:val="DefaultParagraphFont"/>
    <w:qFormat/>
    <w:rPr>
      <w:rFonts w:ascii="Calibri" w:hAnsi="Calibri" w:eastAsia="Times New Roman" w:cs="Liberation Serif"/>
      <w:color w:val="000000"/>
      <w:sz w:val="18"/>
      <w:szCs w:val="18"/>
      <w:lang w:bidi="hi-IN"/>
    </w:rPr>
  </w:style>
  <w:style w:type="character" w:styleId="AsuntodelcomentarioCar1">
    <w:name w:val="Asunto del comentario Car1"/>
    <w:basedOn w:val="TextocomentarioCar1"/>
    <w:qFormat/>
    <w:rPr>
      <w:rFonts w:ascii="Calibri" w:hAnsi="Calibri" w:eastAsia="Times New Roman" w:cs="Liberation Serif"/>
      <w:b/>
      <w:bCs/>
      <w:color w:val="000000"/>
      <w:sz w:val="18"/>
      <w:szCs w:val="18"/>
      <w:lang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ista">
    <w:name w:val="List"/>
    <w:basedOn w:val="Cuerpodetexto"/>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eyenda">
    <w:name w:val="Caption"/>
    <w:basedOn w:val="Normal"/>
    <w:qFormat/>
    <w:pPr>
      <w:widowControl/>
      <w:suppressAutoHyphens w:val="true"/>
      <w:spacing w:lineRule="auto" w:line="276" w:before="120" w:after="120"/>
      <w:ind w:left="0" w:right="0" w:hanging="0"/>
      <w:jc w:val="left"/>
      <w:textAlignment w:val="auto"/>
    </w:pPr>
    <w:rPr>
      <w:rFonts w:ascii="Calibri" w:hAnsi="Calibri" w:eastAsia="Times New Roman" w:cs="Liberation Serif"/>
      <w:i/>
      <w:iCs/>
      <w:color w:val="000000"/>
      <w:sz w:val="24"/>
      <w:szCs w:val="24"/>
      <w:lang w:val="es-AR" w:eastAsia="es-AR" w:bidi="ar-SA"/>
    </w:rPr>
  </w:style>
  <w:style w:type="paragraph" w:styleId="Ndice">
    <w:name w:val="Índice"/>
    <w:basedOn w:val="Normal"/>
    <w:qFormat/>
    <w:pPr>
      <w:suppressLineNumbers/>
    </w:pPr>
    <w:rPr>
      <w:rFonts w:cs="FreeSans"/>
    </w:rPr>
  </w:style>
  <w:style w:type="paragraph" w:styleId="DocumentMap">
    <w:name w:val="DocumentMap"/>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paragraph" w:styleId="Encabezamiento">
    <w:name w:val="Header"/>
    <w:basedOn w:val="Normal"/>
    <w:pPr>
      <w:keepNext/>
      <w:widowControl/>
      <w:suppressAutoHyphens w:val="true"/>
      <w:spacing w:lineRule="auto" w:line="276" w:before="240" w:after="120"/>
      <w:ind w:left="0" w:right="0" w:hanging="0"/>
      <w:jc w:val="left"/>
      <w:textAlignment w:val="auto"/>
    </w:pPr>
    <w:rPr>
      <w:rFonts w:ascii="Liberation Sans" w:hAnsi="Liberation Sans" w:eastAsia="Times New Roman" w:cs="Liberation Serif"/>
      <w:color w:val="000000"/>
      <w:sz w:val="28"/>
      <w:szCs w:val="28"/>
      <w:lang w:val="es-AR" w:eastAsia="es-AR" w:bidi="ar-SA"/>
    </w:rPr>
  </w:style>
  <w:style w:type="paragraph" w:styleId="Cdndice">
    <w:name w:val="Ícdndice"/>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BalloonText">
    <w:name w:val="Balloon Text"/>
    <w:basedOn w:val="Normal"/>
    <w:qFormat/>
    <w:pPr>
      <w:widowControl/>
      <w:suppressAutoHyphens w:val="true"/>
      <w:spacing w:lineRule="auto" w:line="276" w:before="0" w:after="200"/>
      <w:ind w:left="0" w:right="0" w:hanging="0"/>
      <w:jc w:val="left"/>
      <w:textAlignment w:val="auto"/>
    </w:pPr>
    <w:rPr>
      <w:rFonts w:ascii="Tahoma" w:hAnsi="Tahoma" w:eastAsia="Times New Roman" w:cs="Liberation Serif"/>
      <w:color w:val="000000"/>
      <w:sz w:val="16"/>
      <w:szCs w:val="16"/>
      <w:lang w:val="es-AR" w:eastAsia="es-AR" w:bidi="ar-SA"/>
    </w:rPr>
  </w:style>
  <w:style w:type="paragraph" w:styleId="Annotationtext">
    <w:name w:val="annotation text"/>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4"/>
      <w:szCs w:val="24"/>
      <w:lang w:val="es-AR" w:eastAsia="es-AR" w:bidi="ar-SA"/>
    </w:rPr>
  </w:style>
  <w:style w:type="paragraph" w:styleId="Annotationsubject">
    <w:name w:val="annotation subject"/>
    <w:basedOn w:val="Annotationtext"/>
    <w:qFormat/>
    <w:pPr>
      <w:widowControl/>
      <w:suppressAutoHyphens w:val="true"/>
      <w:spacing w:lineRule="auto" w:line="276" w:before="0" w:after="200"/>
      <w:ind w:left="0" w:right="0" w:hanging="0"/>
      <w:jc w:val="left"/>
      <w:textAlignment w:val="auto"/>
    </w:pPr>
    <w:rPr>
      <w:rFonts w:ascii="Calibri" w:hAnsi="Calibri" w:eastAsia="Times New Roman" w:cs="Liberation Serif"/>
      <w:b/>
      <w:bCs/>
      <w:color w:val="000000"/>
      <w:sz w:val="20"/>
      <w:szCs w:val="20"/>
      <w:lang w:val="es-AR" w:eastAsia="es-A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2</Pages>
  <Words>1134</Words>
  <Characters>6029</Characters>
  <CharactersWithSpaces>7173</CharactersWithSpaces>
  <Paragraphs>24</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2017-11-09T11:46:00Z</dcterms:created>
  <dc:creator>Centor</dc:creator>
  <dc:description/>
  <dc:language>en-US</dc:language>
  <cp:lastModifiedBy/>
  <cp:lastPrinted>2017-11-06T16:59:00Z</cp:lastPrinted>
  <dcterms:modified xsi:type="dcterms:W3CDTF">2018-03-08T16:36:03Z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http://www.centor.mx.gd</vt:lpwstr>
  </property>
  <property fmtid="{D5CDD505-2E9C-101B-9397-08002B2CF9AE}" pid="3" name="Operator">
    <vt:lpwstr>Lobillo</vt:lpwstr>
  </property>
</Properties>
</file>